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EE11" w14:textId="77777777" w:rsidR="009217F8" w:rsidRPr="00637676" w:rsidRDefault="009217F8" w:rsidP="009217F8">
      <w:pPr>
        <w:pStyle w:val="Default"/>
        <w:jc w:val="center"/>
        <w:rPr>
          <w:b/>
        </w:rPr>
      </w:pPr>
      <w:r>
        <w:rPr>
          <w:sz w:val="22"/>
          <w:szCs w:val="22"/>
        </w:rPr>
        <w:t xml:space="preserve"> </w:t>
      </w:r>
      <w:r w:rsidR="00FF40D7">
        <w:rPr>
          <w:b/>
          <w:sz w:val="22"/>
          <w:szCs w:val="22"/>
        </w:rPr>
        <w:t>20</w:t>
      </w:r>
      <w:r w:rsidR="00FD62A6">
        <w:rPr>
          <w:b/>
          <w:sz w:val="22"/>
          <w:szCs w:val="22"/>
        </w:rPr>
        <w:t>1</w:t>
      </w:r>
      <w:r w:rsidR="008A26FE">
        <w:rPr>
          <w:b/>
          <w:sz w:val="22"/>
          <w:szCs w:val="22"/>
        </w:rPr>
        <w:t>4</w:t>
      </w:r>
      <w:r w:rsidRPr="009217F8">
        <w:rPr>
          <w:b/>
          <w:sz w:val="22"/>
          <w:szCs w:val="22"/>
        </w:rPr>
        <w:t xml:space="preserve"> </w:t>
      </w:r>
      <w:r w:rsidRPr="00637676">
        <w:rPr>
          <w:b/>
        </w:rPr>
        <w:t xml:space="preserve">State Damage Prevention Program Grants Progress Report </w:t>
      </w:r>
    </w:p>
    <w:p w14:paraId="0AE3DBA5" w14:textId="77777777" w:rsidR="009217F8" w:rsidRPr="00637676" w:rsidRDefault="009217F8" w:rsidP="009217F8">
      <w:pPr>
        <w:pStyle w:val="Default"/>
        <w:jc w:val="center"/>
        <w:rPr>
          <w:b/>
        </w:rPr>
      </w:pPr>
      <w:r w:rsidRPr="00637676">
        <w:rPr>
          <w:b/>
        </w:rPr>
        <w:t>CFDA Number: 20.720</w:t>
      </w:r>
    </w:p>
    <w:p w14:paraId="626DF7C5" w14:textId="77777777" w:rsidR="009217F8" w:rsidRPr="00637676" w:rsidRDefault="009217F8" w:rsidP="009217F8">
      <w:pPr>
        <w:jc w:val="center"/>
        <w:rPr>
          <w:b/>
        </w:rPr>
      </w:pPr>
    </w:p>
    <w:p w14:paraId="2FC72E90" w14:textId="77777777" w:rsidR="009217F8" w:rsidRPr="00637676" w:rsidRDefault="009217F8" w:rsidP="009217F8">
      <w:pPr>
        <w:pStyle w:val="Default"/>
        <w:rPr>
          <w:i/>
        </w:rPr>
      </w:pPr>
      <w:r w:rsidRPr="00637676">
        <w:rPr>
          <w:b/>
        </w:rPr>
        <w:t>Award Number</w:t>
      </w:r>
      <w:r w:rsidR="008A26FE" w:rsidRPr="00637676">
        <w:t>: DTPH5614GP</w:t>
      </w:r>
      <w:r w:rsidR="00513E2B" w:rsidRPr="00637676">
        <w:t>PS0</w:t>
      </w:r>
      <w:r w:rsidR="008A26FE" w:rsidRPr="00637676">
        <w:t>8</w:t>
      </w:r>
    </w:p>
    <w:p w14:paraId="075216AB" w14:textId="77777777" w:rsidR="009217F8" w:rsidRPr="00637676" w:rsidRDefault="009217F8" w:rsidP="00513E2B">
      <w:pPr>
        <w:rPr>
          <w:i/>
        </w:rPr>
      </w:pPr>
      <w:r w:rsidRPr="00637676">
        <w:rPr>
          <w:b/>
        </w:rPr>
        <w:t>Project Title</w:t>
      </w:r>
      <w:r w:rsidR="00513E2B" w:rsidRPr="00637676">
        <w:rPr>
          <w:b/>
        </w:rPr>
        <w:t xml:space="preserve">: </w:t>
      </w:r>
      <w:r w:rsidR="008A26FE" w:rsidRPr="00637676">
        <w:t>Maryland</w:t>
      </w:r>
      <w:r w:rsidR="00513E2B" w:rsidRPr="00637676">
        <w:t xml:space="preserve"> Underground Facilities Damage Prevention Authority State Damage Prevention</w:t>
      </w:r>
      <w:r w:rsidR="008A26FE" w:rsidRPr="00637676">
        <w:t xml:space="preserve"> Grant</w:t>
      </w:r>
    </w:p>
    <w:p w14:paraId="733C551E" w14:textId="3B5C0234" w:rsidR="006116D1" w:rsidRPr="00637676" w:rsidRDefault="006116D1" w:rsidP="009217F8">
      <w:pPr>
        <w:rPr>
          <w:b/>
        </w:rPr>
      </w:pPr>
      <w:r w:rsidRPr="00637676">
        <w:rPr>
          <w:b/>
        </w:rPr>
        <w:t>Date Submitted:</w:t>
      </w:r>
      <w:r w:rsidR="008061CE">
        <w:t xml:space="preserve"> April 29</w:t>
      </w:r>
      <w:r w:rsidR="008A26FE" w:rsidRPr="00637676">
        <w:t>, 2015</w:t>
      </w:r>
    </w:p>
    <w:p w14:paraId="6C9A462C" w14:textId="77777777" w:rsidR="009217F8" w:rsidRPr="00637676" w:rsidRDefault="006116D1" w:rsidP="009217F8">
      <w:pPr>
        <w:rPr>
          <w:i/>
        </w:rPr>
      </w:pPr>
      <w:r w:rsidRPr="00637676">
        <w:rPr>
          <w:b/>
        </w:rPr>
        <w:t>Submitted by</w:t>
      </w:r>
      <w:r w:rsidR="00513E2B" w:rsidRPr="00637676">
        <w:rPr>
          <w:b/>
        </w:rPr>
        <w:t xml:space="preserve">: </w:t>
      </w:r>
      <w:r w:rsidR="00513E2B" w:rsidRPr="00637676">
        <w:t>James A. Barron</w:t>
      </w:r>
    </w:p>
    <w:p w14:paraId="758303F0" w14:textId="77777777" w:rsidR="009217F8" w:rsidRPr="00637676" w:rsidRDefault="009217F8" w:rsidP="009217F8"/>
    <w:p w14:paraId="3E3AF511" w14:textId="77777777" w:rsidR="009217F8" w:rsidRPr="00637676" w:rsidRDefault="009217F8" w:rsidP="009217F8">
      <w:pPr>
        <w:pStyle w:val="Default"/>
        <w:rPr>
          <w:b/>
          <w:bCs/>
        </w:rPr>
      </w:pPr>
      <w:r w:rsidRPr="00637676">
        <w:rPr>
          <w:b/>
          <w:bCs/>
        </w:rPr>
        <w:t xml:space="preserve">Specific Objective(s) of the Agreement </w:t>
      </w:r>
    </w:p>
    <w:p w14:paraId="76D84FC9" w14:textId="77777777" w:rsidR="00BC6AE7" w:rsidRPr="00637676" w:rsidRDefault="00BC6AE7" w:rsidP="009217F8">
      <w:pPr>
        <w:pStyle w:val="Default"/>
        <w:rPr>
          <w:bCs/>
          <w:i/>
        </w:rPr>
      </w:pPr>
    </w:p>
    <w:p w14:paraId="6379BE37" w14:textId="77777777" w:rsidR="00BC6AE7" w:rsidRPr="00637676" w:rsidRDefault="00CE20BB" w:rsidP="00BC6AE7">
      <w:pPr>
        <w:pStyle w:val="Default"/>
        <w:rPr>
          <w:color w:val="auto"/>
        </w:rPr>
      </w:pPr>
      <w:r w:rsidRPr="00637676">
        <w:rPr>
          <w:color w:val="auto"/>
        </w:rPr>
        <w:t xml:space="preserve">Under this grant agreement, </w:t>
      </w:r>
      <w:r w:rsidR="008A26FE" w:rsidRPr="00637676">
        <w:rPr>
          <w:color w:val="auto"/>
        </w:rPr>
        <w:t>the Authority</w:t>
      </w:r>
      <w:r w:rsidR="003D0A27" w:rsidRPr="00637676">
        <w:rPr>
          <w:color w:val="auto"/>
        </w:rPr>
        <w:t xml:space="preserve"> will</w:t>
      </w:r>
      <w:r w:rsidR="008A26FE" w:rsidRPr="00637676">
        <w:rPr>
          <w:color w:val="auto"/>
        </w:rPr>
        <w:t xml:space="preserve"> enforce</w:t>
      </w:r>
      <w:r w:rsidR="003D0A27" w:rsidRPr="00637676">
        <w:rPr>
          <w:color w:val="auto"/>
        </w:rPr>
        <w:t>:</w:t>
      </w:r>
    </w:p>
    <w:p w14:paraId="508328E8" w14:textId="77777777" w:rsidR="003D0A27" w:rsidRPr="00637676" w:rsidRDefault="003D0A27" w:rsidP="003D0A27">
      <w:pPr>
        <w:pStyle w:val="Default"/>
        <w:numPr>
          <w:ilvl w:val="0"/>
          <w:numId w:val="3"/>
        </w:numPr>
        <w:rPr>
          <w:color w:val="auto"/>
        </w:rPr>
      </w:pPr>
      <w:r w:rsidRPr="00637676">
        <w:rPr>
          <w:color w:val="auto"/>
        </w:rPr>
        <w:t>Laws and regulations of the damage prevention process</w:t>
      </w:r>
    </w:p>
    <w:p w14:paraId="52C53FD2" w14:textId="77777777" w:rsidR="00CE20BB" w:rsidRPr="00637676" w:rsidRDefault="00CE20BB" w:rsidP="00BC6AE7">
      <w:pPr>
        <w:pStyle w:val="Default"/>
        <w:rPr>
          <w:b/>
          <w:color w:val="auto"/>
        </w:rPr>
      </w:pPr>
    </w:p>
    <w:p w14:paraId="742E3892" w14:textId="77777777" w:rsidR="009217F8" w:rsidRPr="00637676" w:rsidRDefault="009217F8" w:rsidP="00BC6AE7">
      <w:pPr>
        <w:pStyle w:val="Default"/>
        <w:rPr>
          <w:b/>
          <w:bCs/>
        </w:rPr>
      </w:pPr>
      <w:r w:rsidRPr="00637676">
        <w:rPr>
          <w:b/>
          <w:bCs/>
        </w:rPr>
        <w:t>Workscope</w:t>
      </w:r>
    </w:p>
    <w:p w14:paraId="2C3D3EB6" w14:textId="77777777" w:rsidR="009217F8" w:rsidRPr="00637676" w:rsidRDefault="009217F8" w:rsidP="009217F8">
      <w:pPr>
        <w:rPr>
          <w:b/>
        </w:rPr>
      </w:pPr>
    </w:p>
    <w:p w14:paraId="449BA7C1" w14:textId="77777777" w:rsidR="00176976" w:rsidRPr="00637676" w:rsidRDefault="005015D4" w:rsidP="00BC6AE7">
      <w:pPr>
        <w:pStyle w:val="Default"/>
        <w:rPr>
          <w:color w:val="auto"/>
        </w:rPr>
      </w:pPr>
      <w:r w:rsidRPr="00637676">
        <w:rPr>
          <w:color w:val="auto"/>
        </w:rPr>
        <w:t>Under the terms of this grant agreement,</w:t>
      </w:r>
      <w:r w:rsidR="008A26FE" w:rsidRPr="00637676">
        <w:rPr>
          <w:color w:val="auto"/>
        </w:rPr>
        <w:t xml:space="preserve"> the Recipient</w:t>
      </w:r>
      <w:r w:rsidRPr="00637676">
        <w:rPr>
          <w:color w:val="auto"/>
        </w:rPr>
        <w:t xml:space="preserve"> will address the following elements listed in </w:t>
      </w:r>
      <w:r w:rsidR="008A26FE" w:rsidRPr="00637676">
        <w:rPr>
          <w:color w:val="auto"/>
        </w:rPr>
        <w:t xml:space="preserve">the approved application as stated in </w:t>
      </w:r>
      <w:r w:rsidRPr="00637676">
        <w:rPr>
          <w:color w:val="auto"/>
        </w:rPr>
        <w:t>49 U</w:t>
      </w:r>
      <w:r w:rsidR="008A26FE" w:rsidRPr="00637676">
        <w:rPr>
          <w:color w:val="auto"/>
        </w:rPr>
        <w:t>.</w:t>
      </w:r>
      <w:r w:rsidRPr="00637676">
        <w:rPr>
          <w:color w:val="auto"/>
        </w:rPr>
        <w:t>S</w:t>
      </w:r>
      <w:r w:rsidR="008A26FE" w:rsidRPr="00637676">
        <w:rPr>
          <w:color w:val="auto"/>
        </w:rPr>
        <w:t>.</w:t>
      </w:r>
      <w:r w:rsidRPr="00637676">
        <w:rPr>
          <w:color w:val="auto"/>
        </w:rPr>
        <w:t>C</w:t>
      </w:r>
      <w:r w:rsidR="008A26FE" w:rsidRPr="00637676">
        <w:rPr>
          <w:color w:val="auto"/>
        </w:rPr>
        <w:t>§60134 (b).</w:t>
      </w:r>
    </w:p>
    <w:p w14:paraId="227F7693" w14:textId="77777777" w:rsidR="00BC6AE7" w:rsidRPr="00637676" w:rsidRDefault="00176976" w:rsidP="00176976">
      <w:pPr>
        <w:pStyle w:val="Default"/>
        <w:numPr>
          <w:ilvl w:val="0"/>
          <w:numId w:val="3"/>
        </w:numPr>
        <w:rPr>
          <w:color w:val="auto"/>
        </w:rPr>
      </w:pPr>
      <w:r w:rsidRPr="00637676">
        <w:rPr>
          <w:i/>
          <w:color w:val="auto"/>
        </w:rPr>
        <w:t xml:space="preserve">Element (7): </w:t>
      </w:r>
      <w:r w:rsidRPr="00637676">
        <w:rPr>
          <w:color w:val="auto"/>
        </w:rPr>
        <w:t xml:space="preserve">Enforcement of State damage prevention laws and regulations for all aspects of the damage prevention process, including public </w:t>
      </w:r>
      <w:r w:rsidR="00983203" w:rsidRPr="00637676">
        <w:rPr>
          <w:color w:val="auto"/>
        </w:rPr>
        <w:t>education</w:t>
      </w:r>
      <w:r w:rsidRPr="00637676">
        <w:rPr>
          <w:color w:val="auto"/>
        </w:rPr>
        <w:t xml:space="preserve"> and the use of civil penalties for violations assessable by the appropriate State authority.</w:t>
      </w:r>
    </w:p>
    <w:p w14:paraId="0EF4A89E" w14:textId="77777777" w:rsidR="005015D4" w:rsidRPr="00637676" w:rsidRDefault="005015D4" w:rsidP="00BC6AE7">
      <w:pPr>
        <w:pStyle w:val="Default"/>
        <w:rPr>
          <w:b/>
          <w:color w:val="auto"/>
        </w:rPr>
      </w:pPr>
    </w:p>
    <w:p w14:paraId="5AF56640" w14:textId="77777777" w:rsidR="005015D4" w:rsidRPr="00637676" w:rsidRDefault="005015D4" w:rsidP="00BC6AE7">
      <w:pPr>
        <w:pStyle w:val="Default"/>
        <w:rPr>
          <w:b/>
          <w:color w:val="auto"/>
        </w:rPr>
      </w:pPr>
    </w:p>
    <w:p w14:paraId="13608F94" w14:textId="77777777" w:rsidR="00A92A83" w:rsidRPr="00637676" w:rsidRDefault="00E02038" w:rsidP="00BC6AE7">
      <w:pPr>
        <w:pStyle w:val="Default"/>
      </w:pPr>
      <w:r w:rsidRPr="00637676">
        <w:rPr>
          <w:b/>
        </w:rPr>
        <w:t>Accomplishments for this period</w:t>
      </w:r>
      <w:r w:rsidR="00A92A83" w:rsidRPr="00637676">
        <w:rPr>
          <w:b/>
        </w:rPr>
        <w:t xml:space="preserve"> (Item 1 under </w:t>
      </w:r>
      <w:r w:rsidR="00785509" w:rsidRPr="00637676">
        <w:rPr>
          <w:b/>
        </w:rPr>
        <w:t xml:space="preserve">Article IX, </w:t>
      </w:r>
      <w:r w:rsidR="00A92A83" w:rsidRPr="00637676">
        <w:rPr>
          <w:b/>
          <w:u w:val="single"/>
        </w:rPr>
        <w:t>Section 9.01 Progress Report</w:t>
      </w:r>
      <w:r w:rsidR="00A92A83" w:rsidRPr="00637676">
        <w:rPr>
          <w:b/>
        </w:rPr>
        <w:t>: “A comparison of actual accomplishments to the objectives established for the period.</w:t>
      </w:r>
      <w:r w:rsidR="00A92A83" w:rsidRPr="00637676">
        <w:t>”)</w:t>
      </w:r>
    </w:p>
    <w:p w14:paraId="7A70CA93" w14:textId="77777777" w:rsidR="00A92A83" w:rsidRPr="00637676" w:rsidRDefault="00A92A83" w:rsidP="00E02038">
      <w:pPr>
        <w:rPr>
          <w:i/>
        </w:rPr>
      </w:pPr>
    </w:p>
    <w:p w14:paraId="50F257C9" w14:textId="6A9B9C94" w:rsidR="0057524C" w:rsidRPr="00637676" w:rsidRDefault="00983203" w:rsidP="00BC6AE7">
      <w:pPr>
        <w:pStyle w:val="Default"/>
        <w:rPr>
          <w:color w:val="auto"/>
        </w:rPr>
      </w:pPr>
      <w:r w:rsidRPr="00637676">
        <w:t xml:space="preserve">As noted above our primary objective is enforcement as detailed in </w:t>
      </w:r>
      <w:r w:rsidRPr="00637676">
        <w:rPr>
          <w:i/>
        </w:rPr>
        <w:t xml:space="preserve">Element (7) </w:t>
      </w:r>
      <w:r w:rsidRPr="00637676">
        <w:t xml:space="preserve">of </w:t>
      </w:r>
      <w:r w:rsidRPr="00637676">
        <w:rPr>
          <w:color w:val="auto"/>
        </w:rPr>
        <w:t xml:space="preserve">49 USC§60134.  </w:t>
      </w:r>
      <w:r w:rsidR="008A3203" w:rsidRPr="00637676">
        <w:rPr>
          <w:color w:val="auto"/>
        </w:rPr>
        <w:t xml:space="preserve">During the period from 09/22/2014 through March </w:t>
      </w:r>
      <w:r w:rsidR="00530AA3" w:rsidRPr="00637676">
        <w:rPr>
          <w:color w:val="auto"/>
        </w:rPr>
        <w:t xml:space="preserve">31, 2015, the Authority was very busy achieving this objective.  Five (5) monthly meetings were held (no meeting in December) at which hearings were held at three (3) of those meetings.  Simultaneously the Authority received an additional 15 Notices of Probable Violation </w:t>
      </w:r>
      <w:r w:rsidR="00F04219" w:rsidRPr="00637676">
        <w:rPr>
          <w:color w:val="auto"/>
        </w:rPr>
        <w:t xml:space="preserve">(NPV’s) </w:t>
      </w:r>
      <w:r w:rsidR="00530AA3" w:rsidRPr="00637676">
        <w:rPr>
          <w:color w:val="auto"/>
        </w:rPr>
        <w:t xml:space="preserve">to add to the </w:t>
      </w:r>
      <w:r w:rsidR="008368EA" w:rsidRPr="00637676">
        <w:rPr>
          <w:color w:val="auto"/>
        </w:rPr>
        <w:t xml:space="preserve">fifty-two </w:t>
      </w:r>
      <w:r w:rsidR="00F04219" w:rsidRPr="00637676">
        <w:rPr>
          <w:color w:val="auto"/>
        </w:rPr>
        <w:t xml:space="preserve">(52) </w:t>
      </w:r>
      <w:r w:rsidR="00637676">
        <w:rPr>
          <w:color w:val="auto"/>
        </w:rPr>
        <w:t>NPV’S</w:t>
      </w:r>
      <w:r w:rsidR="008368EA" w:rsidRPr="00637676">
        <w:rPr>
          <w:color w:val="auto"/>
        </w:rPr>
        <w:t xml:space="preserve"> they were already monitoring, addressing or researching.</w:t>
      </w:r>
      <w:r w:rsidR="0057524C" w:rsidRPr="00637676">
        <w:rPr>
          <w:color w:val="auto"/>
        </w:rPr>
        <w:t xml:space="preserve">  </w:t>
      </w:r>
      <w:r w:rsidR="00F04219" w:rsidRPr="00637676">
        <w:rPr>
          <w:color w:val="auto"/>
        </w:rPr>
        <w:t>Also during that time period the Authority collected $28,500.00 in fines from previous decision</w:t>
      </w:r>
      <w:r w:rsidR="001117B6" w:rsidRPr="00637676">
        <w:rPr>
          <w:color w:val="auto"/>
        </w:rPr>
        <w:t>s</w:t>
      </w:r>
      <w:r w:rsidR="00F04219" w:rsidRPr="00637676">
        <w:rPr>
          <w:color w:val="auto"/>
        </w:rPr>
        <w:t xml:space="preserve"> of th</w:t>
      </w:r>
      <w:r w:rsidR="00637676">
        <w:rPr>
          <w:color w:val="auto"/>
        </w:rPr>
        <w:t xml:space="preserve">e </w:t>
      </w:r>
      <w:r w:rsidR="00AA4FCA">
        <w:rPr>
          <w:color w:val="auto"/>
        </w:rPr>
        <w:t>Authority.  During that timeline</w:t>
      </w:r>
      <w:r w:rsidR="00F04219" w:rsidRPr="00637676">
        <w:rPr>
          <w:color w:val="auto"/>
        </w:rPr>
        <w:t xml:space="preserve">, the Authority reviewed thirty-one (31) previously received NPV’s and recommended $66,000.00 in fines and training for those violators.  Additionally, the Authority reviewed </w:t>
      </w:r>
      <w:r w:rsidR="00EB7F63" w:rsidRPr="00637676">
        <w:rPr>
          <w:color w:val="auto"/>
        </w:rPr>
        <w:t>seven (7) of t</w:t>
      </w:r>
      <w:r w:rsidR="001117B6" w:rsidRPr="00637676">
        <w:rPr>
          <w:color w:val="auto"/>
        </w:rPr>
        <w:t>he new NPV’s and recommended an</w:t>
      </w:r>
      <w:r w:rsidR="00EB7F63" w:rsidRPr="00637676">
        <w:rPr>
          <w:color w:val="auto"/>
        </w:rPr>
        <w:t xml:space="preserve"> additionally $18,000.00 in fines and training.  During three (3) of the five (5) meeting</w:t>
      </w:r>
      <w:r w:rsidR="001117B6" w:rsidRPr="00637676">
        <w:rPr>
          <w:color w:val="auto"/>
        </w:rPr>
        <w:t>s</w:t>
      </w:r>
      <w:r w:rsidR="00EB7F63" w:rsidRPr="00637676">
        <w:rPr>
          <w:color w:val="auto"/>
        </w:rPr>
        <w:t xml:space="preserve"> conducted during this period, nine (9) hearings were held and $15,000.00 in fines and training</w:t>
      </w:r>
      <w:r w:rsidR="00982E4A" w:rsidRPr="00637676">
        <w:rPr>
          <w:color w:val="auto"/>
        </w:rPr>
        <w:t xml:space="preserve"> </w:t>
      </w:r>
      <w:r w:rsidR="00A7766F" w:rsidRPr="00637676">
        <w:rPr>
          <w:color w:val="auto"/>
        </w:rPr>
        <w:t>was</w:t>
      </w:r>
      <w:r w:rsidR="00982E4A" w:rsidRPr="00637676">
        <w:rPr>
          <w:color w:val="auto"/>
        </w:rPr>
        <w:t xml:space="preserve"> levied.  Four (4) of the</w:t>
      </w:r>
      <w:r w:rsidR="003D3FAC" w:rsidRPr="00637676">
        <w:rPr>
          <w:color w:val="auto"/>
        </w:rPr>
        <w:t xml:space="preserve"> Authority</w:t>
      </w:r>
      <w:r w:rsidR="00982E4A" w:rsidRPr="00637676">
        <w:rPr>
          <w:color w:val="auto"/>
        </w:rPr>
        <w:t xml:space="preserve"> decisions from the </w:t>
      </w:r>
      <w:r w:rsidR="00AA4FCA">
        <w:rPr>
          <w:color w:val="auto"/>
        </w:rPr>
        <w:t xml:space="preserve">February 4, 2015 </w:t>
      </w:r>
      <w:r w:rsidR="00982E4A" w:rsidRPr="00637676">
        <w:rPr>
          <w:color w:val="auto"/>
        </w:rPr>
        <w:t>hearings</w:t>
      </w:r>
      <w:r w:rsidR="003D3FAC" w:rsidRPr="00637676">
        <w:rPr>
          <w:color w:val="auto"/>
        </w:rPr>
        <w:t xml:space="preserve">, </w:t>
      </w:r>
      <w:r w:rsidR="00982E4A" w:rsidRPr="00637676">
        <w:rPr>
          <w:color w:val="auto"/>
        </w:rPr>
        <w:t>which included $8</w:t>
      </w:r>
      <w:r w:rsidR="00EB7F63" w:rsidRPr="00637676">
        <w:rPr>
          <w:color w:val="auto"/>
        </w:rPr>
        <w:t>,000.00 in fines</w:t>
      </w:r>
      <w:r w:rsidR="003D3FAC" w:rsidRPr="00637676">
        <w:rPr>
          <w:color w:val="auto"/>
        </w:rPr>
        <w:t>,</w:t>
      </w:r>
      <w:r w:rsidR="00EB7F63" w:rsidRPr="00637676">
        <w:rPr>
          <w:color w:val="auto"/>
        </w:rPr>
        <w:t xml:space="preserve"> have been appealed to the Circuit Court of Anne Arundel County Maryland.  A new </w:t>
      </w:r>
      <w:r w:rsidR="003D3FAC" w:rsidRPr="00637676">
        <w:rPr>
          <w:color w:val="auto"/>
        </w:rPr>
        <w:t>problem surfaced during this time period that required the Authority to establish a collection process for those Probable Violators who refuse to pay the fines levied</w:t>
      </w:r>
      <w:r w:rsidR="00982E4A" w:rsidRPr="00637676">
        <w:rPr>
          <w:color w:val="auto"/>
        </w:rPr>
        <w:t>.  Currently the Authority has s</w:t>
      </w:r>
      <w:r w:rsidR="003D3FAC" w:rsidRPr="00637676">
        <w:rPr>
          <w:color w:val="auto"/>
        </w:rPr>
        <w:t xml:space="preserve">ix (6) NPV”s with a total of $12,000.00 fines that the Authority is attempting to collect through our new legal collection process.  </w:t>
      </w:r>
      <w:r w:rsidR="00036AFE" w:rsidRPr="00637676">
        <w:rPr>
          <w:color w:val="auto"/>
        </w:rPr>
        <w:t>Five (5) previous decision</w:t>
      </w:r>
      <w:r w:rsidR="00637676">
        <w:rPr>
          <w:color w:val="auto"/>
        </w:rPr>
        <w:t>s</w:t>
      </w:r>
      <w:r w:rsidR="00036AFE" w:rsidRPr="00637676">
        <w:rPr>
          <w:color w:val="auto"/>
        </w:rPr>
        <w:t xml:space="preserve"> of the Authority were appealed to the Circuit Court of Anne Arundel County.  </w:t>
      </w:r>
      <w:r w:rsidR="00982E4A" w:rsidRPr="00637676">
        <w:rPr>
          <w:color w:val="auto"/>
        </w:rPr>
        <w:t>O</w:t>
      </w:r>
      <w:r w:rsidR="00637676">
        <w:rPr>
          <w:color w:val="auto"/>
        </w:rPr>
        <w:t>ral Arguments were heard on those</w:t>
      </w:r>
      <w:r w:rsidR="00036AFE" w:rsidRPr="00637676">
        <w:rPr>
          <w:color w:val="auto"/>
        </w:rPr>
        <w:t xml:space="preserve"> appeal</w:t>
      </w:r>
      <w:r w:rsidR="00637676">
        <w:rPr>
          <w:color w:val="auto"/>
        </w:rPr>
        <w:t>s</w:t>
      </w:r>
      <w:r w:rsidR="00036AFE" w:rsidRPr="00637676">
        <w:rPr>
          <w:color w:val="auto"/>
        </w:rPr>
        <w:t xml:space="preserve"> on October 20, 2014 and a decision in favor of the Authority was rendered in No</w:t>
      </w:r>
      <w:r w:rsidR="00637676">
        <w:rPr>
          <w:color w:val="auto"/>
        </w:rPr>
        <w:t>vember of 2014.  Since then those</w:t>
      </w:r>
      <w:r w:rsidR="00036AFE" w:rsidRPr="00637676">
        <w:rPr>
          <w:color w:val="auto"/>
        </w:rPr>
        <w:t xml:space="preserve"> </w:t>
      </w:r>
      <w:r w:rsidR="00036AFE" w:rsidRPr="00637676">
        <w:rPr>
          <w:color w:val="auto"/>
        </w:rPr>
        <w:lastRenderedPageBreak/>
        <w:t>decision</w:t>
      </w:r>
      <w:r w:rsidR="00637676">
        <w:rPr>
          <w:color w:val="auto"/>
        </w:rPr>
        <w:t>s have</w:t>
      </w:r>
      <w:r w:rsidR="00036AFE" w:rsidRPr="00637676">
        <w:rPr>
          <w:color w:val="auto"/>
        </w:rPr>
        <w:t xml:space="preserve"> been appealed to the Maryland Court of Special Appeals.  </w:t>
      </w:r>
      <w:r w:rsidR="003D3FAC" w:rsidRPr="00637676">
        <w:rPr>
          <w:color w:val="auto"/>
        </w:rPr>
        <w:t>Each year, the Authority is required</w:t>
      </w:r>
      <w:r w:rsidR="00982E4A" w:rsidRPr="00637676">
        <w:rPr>
          <w:color w:val="auto"/>
        </w:rPr>
        <w:t xml:space="preserve"> by statute to submit a</w:t>
      </w:r>
      <w:r w:rsidR="003D3FAC" w:rsidRPr="00637676">
        <w:rPr>
          <w:color w:val="auto"/>
        </w:rPr>
        <w:t xml:space="preserve"> report to the Governor and Maryland Legislature.  This year a ninety (90</w:t>
      </w:r>
      <w:proofErr w:type="gramStart"/>
      <w:r w:rsidR="003D3FAC" w:rsidRPr="00637676">
        <w:rPr>
          <w:color w:val="auto"/>
        </w:rPr>
        <w:t>) page</w:t>
      </w:r>
      <w:proofErr w:type="gramEnd"/>
      <w:r w:rsidR="003D3FAC" w:rsidRPr="00637676">
        <w:rPr>
          <w:color w:val="auto"/>
        </w:rPr>
        <w:t xml:space="preserve"> report was submitted outlining and reviewing the activities of the Authority during </w:t>
      </w:r>
      <w:r w:rsidR="00036AFE" w:rsidRPr="00637676">
        <w:rPr>
          <w:color w:val="auto"/>
        </w:rPr>
        <w:t>calendar year</w:t>
      </w:r>
      <w:r w:rsidR="003D3FAC" w:rsidRPr="00637676">
        <w:rPr>
          <w:color w:val="auto"/>
        </w:rPr>
        <w:t xml:space="preserve"> 2014.  </w:t>
      </w:r>
      <w:r w:rsidR="00036AFE" w:rsidRPr="00637676">
        <w:rPr>
          <w:color w:val="auto"/>
        </w:rPr>
        <w:t>In October of 2014 for the first time, The Authority became a Gold Sponsor of the Greater Chesapeake Damage Prevention Training Conference held in Ocean City Maryland.  We sponsored a boo</w:t>
      </w:r>
      <w:r w:rsidR="00982E4A" w:rsidRPr="00637676">
        <w:rPr>
          <w:color w:val="auto"/>
        </w:rPr>
        <w:t>th in the show and presented an</w:t>
      </w:r>
      <w:r w:rsidR="00036AFE" w:rsidRPr="00637676">
        <w:rPr>
          <w:color w:val="auto"/>
        </w:rPr>
        <w:t xml:space="preserve"> education session updating the progress of the Authority.  The Authority sponsored Cross-Bore Legislation in the 2015 session of the Maryland Legislature, which passed and will become law on October 1, 2015.  And finally, the Authority sponsored quarterly damage preventions training session for contractors, three (3) of which were conducted during this time period.  Training sessions were held on September 25, 2014, November 13, 2014 and February 20, 2015.  A total of 34 construction companies participated and one hundred eleven (111) employees were trained.</w:t>
      </w:r>
    </w:p>
    <w:p w14:paraId="43E39BBC" w14:textId="77777777" w:rsidR="00983203" w:rsidRPr="00637676" w:rsidRDefault="00983203" w:rsidP="00BC6AE7">
      <w:pPr>
        <w:pStyle w:val="Default"/>
      </w:pPr>
    </w:p>
    <w:p w14:paraId="0DDA4687" w14:textId="77777777" w:rsidR="001C4E5B" w:rsidRPr="00637676" w:rsidRDefault="007A55F3" w:rsidP="00BC6AE7">
      <w:pPr>
        <w:pStyle w:val="Default"/>
      </w:pPr>
      <w:r w:rsidRPr="00637676">
        <w:rPr>
          <w:b/>
        </w:rPr>
        <w:t>Quantifiable M</w:t>
      </w:r>
      <w:r w:rsidR="002D621B" w:rsidRPr="00637676">
        <w:rPr>
          <w:b/>
        </w:rPr>
        <w:t>etrics</w:t>
      </w:r>
      <w:r w:rsidRPr="00637676">
        <w:rPr>
          <w:b/>
        </w:rPr>
        <w:t>/Measures of Effectiveness</w:t>
      </w:r>
      <w:r w:rsidR="00A92A83" w:rsidRPr="00637676">
        <w:rPr>
          <w:b/>
        </w:rPr>
        <w:t xml:space="preserve"> </w:t>
      </w:r>
      <w:r w:rsidR="002D621B" w:rsidRPr="00637676">
        <w:rPr>
          <w:b/>
        </w:rPr>
        <w:t>(</w:t>
      </w:r>
      <w:r w:rsidR="00A92A83" w:rsidRPr="00637676">
        <w:rPr>
          <w:b/>
        </w:rPr>
        <w:t xml:space="preserve">Item 2 under </w:t>
      </w:r>
      <w:r w:rsidR="00785509" w:rsidRPr="00637676">
        <w:rPr>
          <w:b/>
        </w:rPr>
        <w:t xml:space="preserve">Article IX, </w:t>
      </w:r>
      <w:r w:rsidR="00A92A83" w:rsidRPr="00637676">
        <w:rPr>
          <w:b/>
          <w:u w:val="single"/>
        </w:rPr>
        <w:t>Section 9.01 Project Report</w:t>
      </w:r>
      <w:r w:rsidR="00A92A83" w:rsidRPr="00637676">
        <w:rPr>
          <w:b/>
        </w:rPr>
        <w:t xml:space="preserve">: </w:t>
      </w:r>
      <w:r w:rsidR="002D621B" w:rsidRPr="00637676">
        <w:rPr>
          <w:b/>
        </w:rPr>
        <w:t>“Where the output of the project can be quantified, a computation of the cost per unit of output.”)</w:t>
      </w:r>
      <w:r w:rsidR="001C4E5B" w:rsidRPr="00637676">
        <w:t xml:space="preserve"> </w:t>
      </w:r>
    </w:p>
    <w:p w14:paraId="09D06A9C" w14:textId="77777777" w:rsidR="001C4E5B" w:rsidRPr="00637676" w:rsidRDefault="001C4E5B" w:rsidP="00BC6AE7">
      <w:pPr>
        <w:pStyle w:val="Default"/>
      </w:pPr>
    </w:p>
    <w:p w14:paraId="1B9693AD" w14:textId="258E83FB" w:rsidR="00E02038" w:rsidRPr="00637676" w:rsidRDefault="001C4E5B" w:rsidP="001C4E5B">
      <w:pPr>
        <w:pStyle w:val="Default"/>
      </w:pPr>
      <w:r w:rsidRPr="00637676">
        <w:t xml:space="preserve">The </w:t>
      </w:r>
      <w:r w:rsidR="00982E4A" w:rsidRPr="00637676">
        <w:t>Authority has yet to set up a baseline from which our progress can be measured.  Without some sort of mandatory reporting, we don’t see a viable baseline bei</w:t>
      </w:r>
      <w:r w:rsidR="00AA4FCA">
        <w:t>ng established any time in the n</w:t>
      </w:r>
      <w:r w:rsidR="00982E4A" w:rsidRPr="00637676">
        <w:t>ear future. Therefore, no Quantifiable Metrics/Measures of Effectiveness has been established</w:t>
      </w:r>
    </w:p>
    <w:p w14:paraId="7AAC25BE" w14:textId="77777777" w:rsidR="001C4E5B" w:rsidRPr="00637676" w:rsidRDefault="001C4E5B" w:rsidP="00E02038">
      <w:pPr>
        <w:pStyle w:val="Default"/>
        <w:ind w:left="420" w:hanging="420"/>
      </w:pPr>
    </w:p>
    <w:p w14:paraId="3930D852" w14:textId="77777777" w:rsidR="001C4E5B" w:rsidRPr="00637676" w:rsidRDefault="001C4E5B" w:rsidP="00E02038">
      <w:pPr>
        <w:pStyle w:val="Default"/>
        <w:ind w:left="420" w:hanging="420"/>
      </w:pPr>
    </w:p>
    <w:p w14:paraId="21E783A7" w14:textId="77777777" w:rsidR="00E02038" w:rsidRPr="00637676" w:rsidRDefault="00040D99" w:rsidP="00BC6AE7">
      <w:pPr>
        <w:pStyle w:val="Default"/>
        <w:rPr>
          <w:b/>
        </w:rPr>
      </w:pPr>
      <w:r w:rsidRPr="00637676">
        <w:rPr>
          <w:b/>
        </w:rPr>
        <w:t xml:space="preserve">Issues, Problems or Challenges (Item 3 under </w:t>
      </w:r>
      <w:r w:rsidR="00785509" w:rsidRPr="00637676">
        <w:rPr>
          <w:b/>
        </w:rPr>
        <w:t xml:space="preserve">Article IX, </w:t>
      </w:r>
      <w:r w:rsidRPr="00637676">
        <w:rPr>
          <w:b/>
          <w:u w:val="single"/>
        </w:rPr>
        <w:t>Section 9.01 Project Report</w:t>
      </w:r>
      <w:r w:rsidRPr="00637676">
        <w:rPr>
          <w:b/>
        </w:rPr>
        <w:t>: “</w:t>
      </w:r>
      <w:r w:rsidR="00E02038" w:rsidRPr="00637676">
        <w:rPr>
          <w:b/>
        </w:rPr>
        <w:t xml:space="preserve">The reasons for slippage if established objectives were not met. </w:t>
      </w:r>
      <w:r w:rsidRPr="00637676">
        <w:rPr>
          <w:b/>
        </w:rPr>
        <w:t>“)</w:t>
      </w:r>
    </w:p>
    <w:p w14:paraId="49B26A8B" w14:textId="77777777" w:rsidR="00040D99" w:rsidRPr="00637676" w:rsidRDefault="00040D99" w:rsidP="00E02038">
      <w:pPr>
        <w:pStyle w:val="Default"/>
        <w:ind w:left="420" w:hanging="420"/>
        <w:rPr>
          <w:b/>
        </w:rPr>
      </w:pPr>
    </w:p>
    <w:p w14:paraId="5CAE3E45" w14:textId="09A3B301" w:rsidR="00351923" w:rsidRDefault="00443332" w:rsidP="00B1550C">
      <w:pPr>
        <w:pStyle w:val="Default"/>
      </w:pPr>
      <w:r w:rsidRPr="00637676">
        <w:t>The work under this grant agreement has moved steadily forward after receiving the 50% grant allocation</w:t>
      </w:r>
      <w:r w:rsidR="00637676">
        <w:t xml:space="preserve"> in October 2014</w:t>
      </w:r>
      <w:r w:rsidR="002C5FD7" w:rsidRPr="00637676">
        <w:t xml:space="preserve">. </w:t>
      </w:r>
      <w:r w:rsidR="005E7795">
        <w:t xml:space="preserve"> With no Quantifiable Metrics, we are unable to measure any gains or slippage.  However, there have some issues, problem</w:t>
      </w:r>
      <w:r w:rsidR="00AA4FCA">
        <w:t>s</w:t>
      </w:r>
      <w:r w:rsidR="005E7795">
        <w:t xml:space="preserve"> and challenges we are a</w:t>
      </w:r>
      <w:r w:rsidR="008061CE">
        <w:t>ttempting to overcome during this</w:t>
      </w:r>
      <w:r w:rsidR="005E7795">
        <w:t xml:space="preserve"> SDP Grant Year.  Most important is the establishment of a dedicated steady revenue stream to fund the Authority and promote it</w:t>
      </w:r>
      <w:r w:rsidR="000E28F5">
        <w:t>’</w:t>
      </w:r>
      <w:r w:rsidR="005E7795">
        <w:t xml:space="preserve">s much needed growth.  </w:t>
      </w:r>
      <w:r w:rsidR="000E28F5">
        <w:t>A subcommittee of the Authority with some invited stakeholders from the facility owner’s group has begun to look at this issue.  Currently three proposals are being considered:  (1) adding 5 to 10 cents to the cost of outgoing tickets with that revenue dedicated to the Authority; (2) allowing up to 50% of the fines collected to be used by the Authority to cover operating costs and (3) creating an online training component requiring an annual fee from contractors to help fund the Authority.  The subcommittee is leaning toward a combination of (1) &amp; (2) while also considering</w:t>
      </w:r>
      <w:r w:rsidR="00AA4FCA">
        <w:t xml:space="preserve"> the</w:t>
      </w:r>
      <w:r w:rsidR="000E28F5">
        <w:t xml:space="preserve"> implementation of (3)</w:t>
      </w:r>
      <w:r w:rsidR="00AA4FCA">
        <w:t xml:space="preserve"> as</w:t>
      </w:r>
      <w:r w:rsidR="000E28F5">
        <w:t xml:space="preserve"> a free on-line training opportunity.  The committee hopes to reach consensus by August of this </w:t>
      </w:r>
      <w:r w:rsidR="00F47693">
        <w:t xml:space="preserve">year </w:t>
      </w:r>
      <w:r w:rsidR="000E28F5">
        <w:t>so we can draft legislation to submit to the Maryland Legislature in the 2016 Session.  The Authority is currently in negotiations with the Call Center to rent a larger space so additional employees can be hired to enhance the administrative and investigation processes of the Authority.  Finally, as mentioned above, the Authority has implemented a collection process to get legal judgments against those violators who refuse to pay the fine</w:t>
      </w:r>
      <w:r w:rsidR="00F47693">
        <w:t>s</w:t>
      </w:r>
      <w:r w:rsidR="000E28F5">
        <w:t xml:space="preserve"> levied during the hearing enforcement process.</w:t>
      </w:r>
    </w:p>
    <w:p w14:paraId="172B2AE9" w14:textId="77777777" w:rsidR="000E28F5" w:rsidRPr="00637676" w:rsidRDefault="000E28F5" w:rsidP="00B1550C">
      <w:pPr>
        <w:pStyle w:val="Default"/>
      </w:pPr>
    </w:p>
    <w:p w14:paraId="2397CCDD" w14:textId="77777777" w:rsidR="00B32EC1" w:rsidRPr="00637676" w:rsidRDefault="00B32EC1" w:rsidP="00B1550C">
      <w:pPr>
        <w:pStyle w:val="Default"/>
      </w:pPr>
    </w:p>
    <w:p w14:paraId="119AEE10" w14:textId="77777777" w:rsidR="00B1550C" w:rsidRPr="00637676" w:rsidRDefault="00B1550C" w:rsidP="00B1550C">
      <w:pPr>
        <w:pStyle w:val="Default"/>
      </w:pPr>
      <w:r w:rsidRPr="00637676">
        <w:rPr>
          <w:b/>
          <w:bCs/>
        </w:rPr>
        <w:lastRenderedPageBreak/>
        <w:t xml:space="preserve">Mid-term Financial Status Report </w:t>
      </w:r>
    </w:p>
    <w:p w14:paraId="7FABA2FE" w14:textId="77777777" w:rsidR="00BC6AE7" w:rsidRPr="00637676" w:rsidRDefault="00BC6AE7" w:rsidP="00B1550C">
      <w:pPr>
        <w:pStyle w:val="Default"/>
        <w:rPr>
          <w:i/>
        </w:rPr>
      </w:pPr>
    </w:p>
    <w:p w14:paraId="7698D98A" w14:textId="51C4DDE1" w:rsidR="00B1550C" w:rsidRPr="00637676" w:rsidRDefault="00622B87" w:rsidP="009217F8">
      <w:r w:rsidRPr="00637676">
        <w:t>The Mid-Term Federal Financial Report (Standard Form SF-425</w:t>
      </w:r>
      <w:r w:rsidR="006043F2" w:rsidRPr="00637676">
        <w:t>) is attached</w:t>
      </w:r>
      <w:r w:rsidR="00AA4FCA">
        <w:t xml:space="preserve"> hereto.  A breakdown of line (b</w:t>
      </w:r>
      <w:r w:rsidR="006043F2" w:rsidRPr="00637676">
        <w:t>.) is shown below.  Documentation such as invoices, receipts, spreadsheets, e</w:t>
      </w:r>
      <w:r w:rsidR="00E318AB">
        <w:t>tc. will be forwarded to the AOR and A</w:t>
      </w:r>
      <w:r w:rsidR="006043F2" w:rsidRPr="00637676">
        <w:t xml:space="preserve">A within a week </w:t>
      </w:r>
      <w:r w:rsidR="008061CE">
        <w:t>of this April 29</w:t>
      </w:r>
      <w:r w:rsidR="00E318AB">
        <w:t>, 2015</w:t>
      </w:r>
      <w:r w:rsidR="007106D2" w:rsidRPr="00637676">
        <w:t xml:space="preserve"> submission</w:t>
      </w:r>
      <w:r w:rsidR="006043F2" w:rsidRPr="00637676">
        <w:t>.</w:t>
      </w:r>
    </w:p>
    <w:p w14:paraId="60DE794B" w14:textId="77777777" w:rsidR="007106D2" w:rsidRPr="00637676" w:rsidRDefault="007106D2" w:rsidP="009217F8"/>
    <w:p w14:paraId="51E01D51" w14:textId="4D09A6A6" w:rsidR="007106D2" w:rsidRPr="00637676" w:rsidRDefault="00DC031E" w:rsidP="009217F8">
      <w:r>
        <w:tab/>
        <w:t>Travel/Conferences Expenses</w:t>
      </w:r>
      <w:r w:rsidR="0086046A">
        <w:tab/>
      </w:r>
      <w:r w:rsidR="0086046A">
        <w:tab/>
      </w:r>
      <w:proofErr w:type="gramStart"/>
      <w:r w:rsidR="00110021" w:rsidRPr="00637676">
        <w:t xml:space="preserve">$ </w:t>
      </w:r>
      <w:r w:rsidR="00F54E43" w:rsidRPr="00637676">
        <w:t xml:space="preserve">  </w:t>
      </w:r>
      <w:r w:rsidR="0086046A">
        <w:t>3,000</w:t>
      </w:r>
      <w:r w:rsidR="00110021" w:rsidRPr="00637676">
        <w:t>.00</w:t>
      </w:r>
      <w:proofErr w:type="gramEnd"/>
    </w:p>
    <w:p w14:paraId="1DD19BEC" w14:textId="42D58ED5" w:rsidR="00110021" w:rsidRPr="00637676" w:rsidRDefault="0086046A" w:rsidP="009217F8">
      <w:r>
        <w:tab/>
        <w:t>Supplies</w:t>
      </w:r>
      <w:r>
        <w:tab/>
      </w:r>
      <w:r w:rsidR="00110021" w:rsidRPr="00637676">
        <w:tab/>
      </w:r>
      <w:r w:rsidR="00110021" w:rsidRPr="00637676">
        <w:tab/>
      </w:r>
      <w:r w:rsidR="00110021" w:rsidRPr="00637676">
        <w:tab/>
        <w:t xml:space="preserve">   </w:t>
      </w:r>
      <w:r w:rsidR="00481D96">
        <w:t xml:space="preserve">  1,999.70</w:t>
      </w:r>
    </w:p>
    <w:p w14:paraId="0D576B01" w14:textId="5EDF6A4E" w:rsidR="00110021" w:rsidRDefault="00B8336B" w:rsidP="009217F8">
      <w:r>
        <w:tab/>
        <w:t>Contractual</w:t>
      </w:r>
    </w:p>
    <w:p w14:paraId="07FAFCFA" w14:textId="0098F037" w:rsidR="0086046A" w:rsidRDefault="0086046A" w:rsidP="0086046A">
      <w:pPr>
        <w:tabs>
          <w:tab w:val="left" w:pos="720"/>
          <w:tab w:val="left" w:pos="1440"/>
          <w:tab w:val="left" w:pos="2160"/>
          <w:tab w:val="left" w:pos="2880"/>
          <w:tab w:val="left" w:pos="3600"/>
          <w:tab w:val="left" w:pos="4213"/>
        </w:tabs>
      </w:pPr>
      <w:r>
        <w:tab/>
      </w:r>
      <w:r>
        <w:tab/>
        <w:t>Website Maintenanc</w:t>
      </w:r>
      <w:r w:rsidR="00D53321">
        <w:t>e</w:t>
      </w:r>
      <w:r w:rsidR="00D53321">
        <w:tab/>
      </w:r>
      <w:r w:rsidR="00D53321">
        <w:tab/>
      </w:r>
      <w:r w:rsidR="00D53321">
        <w:tab/>
        <w:t xml:space="preserve">            </w:t>
      </w:r>
      <w:r>
        <w:t>0.00</w:t>
      </w:r>
    </w:p>
    <w:p w14:paraId="027B60DB" w14:textId="78C674B3" w:rsidR="0086046A" w:rsidRDefault="00B8336B" w:rsidP="009217F8">
      <w:r>
        <w:tab/>
      </w:r>
      <w:r>
        <w:tab/>
        <w:t>Executive Director</w:t>
      </w:r>
      <w:r>
        <w:tab/>
      </w:r>
      <w:r>
        <w:tab/>
        <w:t xml:space="preserve">    48,875</w:t>
      </w:r>
      <w:r w:rsidR="0086046A">
        <w:t>.00</w:t>
      </w:r>
    </w:p>
    <w:p w14:paraId="6595361F" w14:textId="0DF0F37A" w:rsidR="0086046A" w:rsidRDefault="000508AF" w:rsidP="009217F8">
      <w:r>
        <w:tab/>
      </w:r>
      <w:r>
        <w:tab/>
        <w:t>Office Associate</w:t>
      </w:r>
      <w:r>
        <w:tab/>
      </w:r>
      <w:r>
        <w:tab/>
        <w:t xml:space="preserve">      1,392.50</w:t>
      </w:r>
    </w:p>
    <w:p w14:paraId="33DB0B60" w14:textId="1E4DD331" w:rsidR="0086046A" w:rsidRDefault="00B8336B" w:rsidP="009217F8">
      <w:r>
        <w:tab/>
      </w:r>
      <w:r>
        <w:tab/>
        <w:t>Accounting</w:t>
      </w:r>
      <w:r>
        <w:tab/>
      </w:r>
      <w:r>
        <w:tab/>
      </w:r>
      <w:r>
        <w:tab/>
        <w:t xml:space="preserve">            </w:t>
      </w:r>
      <w:r w:rsidR="0086046A">
        <w:t>0.00</w:t>
      </w:r>
    </w:p>
    <w:p w14:paraId="4D517FBD" w14:textId="3587FCBE" w:rsidR="0086046A" w:rsidRDefault="0086046A" w:rsidP="009217F8">
      <w:r>
        <w:tab/>
        <w:t>Other</w:t>
      </w:r>
    </w:p>
    <w:p w14:paraId="6DB0B6AA" w14:textId="19F9C76A" w:rsidR="00110021" w:rsidRPr="00637676" w:rsidRDefault="0086046A" w:rsidP="009217F8">
      <w:r>
        <w:tab/>
      </w:r>
      <w:r>
        <w:tab/>
        <w:t>Office Rent &amp; Utilities</w:t>
      </w:r>
      <w:r>
        <w:tab/>
      </w:r>
      <w:r w:rsidR="00F54E43" w:rsidRPr="00637676">
        <w:rPr>
          <w:u w:val="single"/>
        </w:rPr>
        <w:t xml:space="preserve">  </w:t>
      </w:r>
      <w:r w:rsidR="00B8336B">
        <w:rPr>
          <w:u w:val="single"/>
        </w:rPr>
        <w:t xml:space="preserve">          </w:t>
      </w:r>
      <w:r>
        <w:rPr>
          <w:u w:val="single"/>
        </w:rPr>
        <w:t>0.00</w:t>
      </w:r>
    </w:p>
    <w:p w14:paraId="2F5C8587" w14:textId="776A9DDA" w:rsidR="00F54E43" w:rsidRPr="00637676" w:rsidRDefault="00F54E43" w:rsidP="009217F8">
      <w:r w:rsidRPr="00637676">
        <w:tab/>
        <w:t>Total</w:t>
      </w:r>
      <w:r w:rsidRPr="00637676">
        <w:tab/>
      </w:r>
      <w:r w:rsidRPr="00637676">
        <w:tab/>
      </w:r>
      <w:r w:rsidRPr="00637676">
        <w:tab/>
      </w:r>
      <w:r w:rsidRPr="00637676">
        <w:tab/>
      </w:r>
      <w:r w:rsidR="00B8336B">
        <w:t xml:space="preserve">            $ 55,267.20</w:t>
      </w:r>
    </w:p>
    <w:p w14:paraId="0B7B69EF" w14:textId="77777777" w:rsidR="00622B87" w:rsidRPr="00637676" w:rsidRDefault="00622B87" w:rsidP="009217F8">
      <w:pPr>
        <w:rPr>
          <w:b/>
        </w:rPr>
      </w:pPr>
    </w:p>
    <w:p w14:paraId="189B99CB" w14:textId="77777777" w:rsidR="00BC6AE7" w:rsidRPr="00637676" w:rsidRDefault="006866E6" w:rsidP="009217F8">
      <w:pPr>
        <w:rPr>
          <w:b/>
        </w:rPr>
      </w:pPr>
      <w:r w:rsidRPr="00637676">
        <w:rPr>
          <w:b/>
        </w:rPr>
        <w:t>Plans for Next Period (Remainder of G</w:t>
      </w:r>
      <w:r w:rsidR="00BC6AE7" w:rsidRPr="00637676">
        <w:rPr>
          <w:b/>
        </w:rPr>
        <w:t>rant)</w:t>
      </w:r>
    </w:p>
    <w:p w14:paraId="2467BB6B" w14:textId="77777777" w:rsidR="006866E6" w:rsidRPr="00637676" w:rsidRDefault="006866E6" w:rsidP="009217F8">
      <w:pPr>
        <w:rPr>
          <w:b/>
        </w:rPr>
      </w:pPr>
    </w:p>
    <w:p w14:paraId="3A8DB3F7" w14:textId="0880DEA1" w:rsidR="00BC6AE7" w:rsidRDefault="00AC5BA4" w:rsidP="009217F8">
      <w:r w:rsidRPr="00637676">
        <w:t xml:space="preserve">The plans for the remainder of this grant are consistent with the objectives outlined in the grant application.  </w:t>
      </w:r>
      <w:r w:rsidR="00365B31">
        <w:t xml:space="preserve">We plan on continuing with the same procedures and policies we have been successful with during the first half of this grant year.  </w:t>
      </w:r>
      <w:r w:rsidR="00A7766F">
        <w:t>NPV’s continue to come into the Authority, which will require continued investigation and research.  There are still NPV’s that have gone through the review process that have not yet been settled through hearings</w:t>
      </w:r>
      <w:r w:rsidR="008061CE">
        <w:t xml:space="preserve"> or acceptance of fines and training</w:t>
      </w:r>
      <w:bookmarkStart w:id="0" w:name="_GoBack"/>
      <w:bookmarkEnd w:id="0"/>
      <w:r w:rsidR="00A7766F">
        <w:t xml:space="preserve">.  </w:t>
      </w:r>
    </w:p>
    <w:p w14:paraId="66557466" w14:textId="77777777" w:rsidR="00A7766F" w:rsidRDefault="00A7766F" w:rsidP="009217F8"/>
    <w:p w14:paraId="1D800D3F" w14:textId="188B7A3F" w:rsidR="00A7766F" w:rsidRPr="00637676" w:rsidRDefault="00A7766F" w:rsidP="009217F8">
      <w:r>
        <w:t xml:space="preserve">However, the Authority is working on creating a matrix that can be used to more fairly and objectively assign fines and penalties.  Through this process we hope to initiate a settlement process affording the probable violators </w:t>
      </w:r>
      <w:r w:rsidR="00AA4FCA">
        <w:t xml:space="preserve">an opportunity </w:t>
      </w:r>
      <w:r>
        <w:t xml:space="preserve">to settle the complaint without going to a </w:t>
      </w:r>
      <w:r w:rsidR="00AA4FCA">
        <w:t>full blow hearing.  We hope to</w:t>
      </w:r>
      <w:r>
        <w:t xml:space="preserve"> have that process developed and in operation before the end of this Grant year.</w:t>
      </w:r>
    </w:p>
    <w:p w14:paraId="693DD821" w14:textId="77777777" w:rsidR="00E83D43" w:rsidRPr="00637676" w:rsidRDefault="00E83D43" w:rsidP="009217F8">
      <w:pPr>
        <w:rPr>
          <w:b/>
        </w:rPr>
      </w:pPr>
    </w:p>
    <w:p w14:paraId="04995C2F" w14:textId="3CC69460" w:rsidR="00314ACB" w:rsidRPr="00637676" w:rsidRDefault="00365B31" w:rsidP="00314ACB">
      <w:pPr>
        <w:rPr>
          <w:b/>
        </w:rPr>
      </w:pPr>
      <w:r>
        <w:rPr>
          <w:b/>
        </w:rPr>
        <w:t>Requests of the AO</w:t>
      </w:r>
      <w:r w:rsidR="00314ACB" w:rsidRPr="00637676">
        <w:rPr>
          <w:b/>
        </w:rPr>
        <w:t xml:space="preserve">R and/or PHMSA </w:t>
      </w:r>
    </w:p>
    <w:p w14:paraId="0A7223A9" w14:textId="77777777" w:rsidR="00E83D43" w:rsidRPr="00637676" w:rsidRDefault="00E83D43" w:rsidP="00314ACB">
      <w:pPr>
        <w:rPr>
          <w:b/>
        </w:rPr>
      </w:pPr>
    </w:p>
    <w:p w14:paraId="57CEC0CB" w14:textId="3F81703B" w:rsidR="00E83D43" w:rsidRPr="00637676" w:rsidRDefault="00A7766F" w:rsidP="00314ACB">
      <w:r>
        <w:t>As you can see from the Mid-term Financial Status Report, the Authority will probably be going over budget on Executive Director.  Since the Executive Director has lost his full time Office Associate, he has been completing many of the</w:t>
      </w:r>
      <w:r w:rsidR="00AA4FCA">
        <w:t>se duties</w:t>
      </w:r>
      <w:r>
        <w:t>.  We have been using an individual on an Incidental Labor basis to complete meeting minutes and hearing reviews.  Couple that with the fact that the Executive Director may well be going from a Contractual Basis to an Employee Basis with the Authority during the second have of the Grant year.  We would like to open discussions with the Agreement Administrator on how to best handle these changes on a financial reporting basis.</w:t>
      </w:r>
    </w:p>
    <w:sectPr w:rsidR="00E83D43" w:rsidRPr="00637676" w:rsidSect="00637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019"/>
    <w:multiLevelType w:val="hybridMultilevel"/>
    <w:tmpl w:val="8B5EF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6AFE"/>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8AF"/>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28F5"/>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021"/>
    <w:rsid w:val="001102AF"/>
    <w:rsid w:val="00110A64"/>
    <w:rsid w:val="00110D68"/>
    <w:rsid w:val="00110DF2"/>
    <w:rsid w:val="00111593"/>
    <w:rsid w:val="001117B6"/>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A89"/>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6976"/>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5B"/>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5FD7"/>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B3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0A27"/>
    <w:rsid w:val="003D13DC"/>
    <w:rsid w:val="003D185C"/>
    <w:rsid w:val="003D29FB"/>
    <w:rsid w:val="003D3180"/>
    <w:rsid w:val="003D31CC"/>
    <w:rsid w:val="003D3611"/>
    <w:rsid w:val="003D3891"/>
    <w:rsid w:val="003D3FAC"/>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3332"/>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2EBB"/>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1D96"/>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5D4"/>
    <w:rsid w:val="00501CFF"/>
    <w:rsid w:val="00501FC2"/>
    <w:rsid w:val="00502F80"/>
    <w:rsid w:val="00504A93"/>
    <w:rsid w:val="00506222"/>
    <w:rsid w:val="005063DD"/>
    <w:rsid w:val="00506679"/>
    <w:rsid w:val="00506D97"/>
    <w:rsid w:val="00507A75"/>
    <w:rsid w:val="00511858"/>
    <w:rsid w:val="0051254E"/>
    <w:rsid w:val="005127AD"/>
    <w:rsid w:val="00513934"/>
    <w:rsid w:val="00513E2B"/>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AA3"/>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24C"/>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795"/>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3F2"/>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B87"/>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676"/>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6D2"/>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61CE"/>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8EA"/>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46A"/>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1EE9"/>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6FE"/>
    <w:rsid w:val="008A2724"/>
    <w:rsid w:val="008A2D9B"/>
    <w:rsid w:val="008A2DC4"/>
    <w:rsid w:val="008A3203"/>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2E4A"/>
    <w:rsid w:val="00983203"/>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041"/>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66F"/>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4FCA"/>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5BA4"/>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08DE"/>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36B"/>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6FDC"/>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20BB"/>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32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31E"/>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18AB"/>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3D43"/>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B7F63"/>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219"/>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693"/>
    <w:rsid w:val="00F479C2"/>
    <w:rsid w:val="00F47B32"/>
    <w:rsid w:val="00F47F1B"/>
    <w:rsid w:val="00F501E8"/>
    <w:rsid w:val="00F50247"/>
    <w:rsid w:val="00F5046B"/>
    <w:rsid w:val="00F508D8"/>
    <w:rsid w:val="00F50C03"/>
    <w:rsid w:val="00F513DC"/>
    <w:rsid w:val="00F51CB0"/>
    <w:rsid w:val="00F5387D"/>
    <w:rsid w:val="00F54E43"/>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70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881EE9"/>
    <w:rPr>
      <w:rFonts w:ascii="Tahoma" w:hAnsi="Tahoma" w:cs="Tahoma"/>
      <w:sz w:val="16"/>
      <w:szCs w:val="16"/>
    </w:rPr>
  </w:style>
  <w:style w:type="character" w:customStyle="1" w:styleId="BalloonTextChar">
    <w:name w:val="Balloon Text Char"/>
    <w:basedOn w:val="DefaultParagraphFont"/>
    <w:link w:val="BalloonText"/>
    <w:rsid w:val="00881EE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881EE9"/>
    <w:rPr>
      <w:rFonts w:ascii="Tahoma" w:hAnsi="Tahoma" w:cs="Tahoma"/>
      <w:sz w:val="16"/>
      <w:szCs w:val="16"/>
    </w:rPr>
  </w:style>
  <w:style w:type="character" w:customStyle="1" w:styleId="BalloonTextChar">
    <w:name w:val="Balloon Text Char"/>
    <w:basedOn w:val="DefaultParagraphFont"/>
    <w:link w:val="BalloonText"/>
    <w:rsid w:val="00881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3</Pages>
  <Words>1275</Words>
  <Characters>7269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Jim Barron</cp:lastModifiedBy>
  <cp:revision>28</cp:revision>
  <cp:lastPrinted>2015-04-28T12:41:00Z</cp:lastPrinted>
  <dcterms:created xsi:type="dcterms:W3CDTF">2013-02-27T19:22:00Z</dcterms:created>
  <dcterms:modified xsi:type="dcterms:W3CDTF">2015-04-29T13:17:00Z</dcterms:modified>
</cp:coreProperties>
</file>